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070" w:rsidRPr="00614070" w:rsidRDefault="00614070">
      <w:pPr>
        <w:rPr>
          <w:rFonts w:ascii="Times New Roman" w:hAnsi="Times New Roman" w:cs="Times New Roman"/>
          <w:b/>
          <w:sz w:val="24"/>
          <w:szCs w:val="24"/>
        </w:rPr>
      </w:pPr>
      <w:r w:rsidRPr="00614070">
        <w:rPr>
          <w:rFonts w:ascii="Times New Roman" w:hAnsi="Times New Roman" w:cs="Times New Roman"/>
          <w:b/>
          <w:sz w:val="24"/>
          <w:szCs w:val="24"/>
        </w:rPr>
        <w:t>Monitorowanie dostępności przez państwa członkowskie UE.</w:t>
      </w:r>
    </w:p>
    <w:p w:rsidR="0055150A" w:rsidRDefault="0055150A">
      <w:pPr>
        <w:rPr>
          <w:rFonts w:ascii="Times New Roman" w:hAnsi="Times New Roman" w:cs="Times New Roman"/>
          <w:i/>
        </w:rPr>
      </w:pPr>
    </w:p>
    <w:p w:rsidR="0018337C" w:rsidRPr="0055150A" w:rsidRDefault="0018337C">
      <w:pPr>
        <w:rPr>
          <w:rFonts w:ascii="Times New Roman" w:hAnsi="Times New Roman" w:cs="Times New Roman"/>
          <w:i/>
          <w:u w:val="single"/>
        </w:rPr>
      </w:pPr>
      <w:r w:rsidRPr="0055150A">
        <w:rPr>
          <w:rFonts w:ascii="Times New Roman" w:hAnsi="Times New Roman" w:cs="Times New Roman"/>
          <w:i/>
        </w:rPr>
        <w:t>DYREKTYWA PARLAMENTU EUROPEJSKIEGO I RADY (UE) 2016/2102 z dnia 26 października 2016 r. w sprawie dostępności stron internetowych i mobilnych aplikacji organów sektora publicznego</w:t>
      </w:r>
      <w:r w:rsidR="0055150A" w:rsidRPr="0055150A">
        <w:rPr>
          <w:rFonts w:ascii="Times New Roman" w:hAnsi="Times New Roman" w:cs="Times New Roman"/>
          <w:i/>
        </w:rPr>
        <w:t>.</w:t>
      </w:r>
    </w:p>
    <w:p w:rsidR="0018337C" w:rsidRDefault="0018337C">
      <w:pPr>
        <w:rPr>
          <w:rFonts w:ascii="Times New Roman" w:hAnsi="Times New Roman" w:cs="Times New Roman"/>
          <w:u w:val="single"/>
        </w:rPr>
      </w:pPr>
      <w:r>
        <w:rPr>
          <w:rFonts w:ascii="Times New Roman" w:hAnsi="Times New Roman" w:cs="Times New Roman"/>
          <w:u w:val="single"/>
        </w:rPr>
        <w:t>Preambuła – wybrany element.</w:t>
      </w:r>
    </w:p>
    <w:p w:rsidR="0055150A" w:rsidRDefault="0018337C">
      <w:pPr>
        <w:rPr>
          <w:rFonts w:ascii="Times New Roman" w:hAnsi="Times New Roman" w:cs="Times New Roman"/>
        </w:rPr>
      </w:pPr>
      <w:r w:rsidRPr="0018337C">
        <w:rPr>
          <w:rFonts w:ascii="Times New Roman" w:hAnsi="Times New Roman" w:cs="Times New Roman"/>
        </w:rPr>
        <w:t xml:space="preserve">(37) Cztery zasady dostępności to: </w:t>
      </w:r>
    </w:p>
    <w:p w:rsidR="0055150A" w:rsidRDefault="0018337C">
      <w:pPr>
        <w:rPr>
          <w:rFonts w:ascii="Times New Roman" w:hAnsi="Times New Roman" w:cs="Times New Roman"/>
        </w:rPr>
      </w:pPr>
      <w:r w:rsidRPr="0055150A">
        <w:rPr>
          <w:rFonts w:ascii="Times New Roman" w:hAnsi="Times New Roman" w:cs="Times New Roman"/>
          <w:b/>
        </w:rPr>
        <w:t>postrzegalność</w:t>
      </w:r>
      <w:r w:rsidRPr="0018337C">
        <w:rPr>
          <w:rFonts w:ascii="Times New Roman" w:hAnsi="Times New Roman" w:cs="Times New Roman"/>
        </w:rPr>
        <w:t xml:space="preserve"> – która oznacza, że informacje i elementy interfejsu użytkownika muszą być przedstawiane użytkownikom w sposób, który potrafią oni dostrzec; </w:t>
      </w:r>
    </w:p>
    <w:p w:rsidR="0055150A" w:rsidRDefault="0018337C">
      <w:pPr>
        <w:rPr>
          <w:rFonts w:ascii="Times New Roman" w:hAnsi="Times New Roman" w:cs="Times New Roman"/>
        </w:rPr>
      </w:pPr>
      <w:r w:rsidRPr="0055150A">
        <w:rPr>
          <w:rFonts w:ascii="Times New Roman" w:hAnsi="Times New Roman" w:cs="Times New Roman"/>
          <w:b/>
        </w:rPr>
        <w:t>funkcjonalność</w:t>
      </w:r>
      <w:r w:rsidRPr="0018337C">
        <w:rPr>
          <w:rFonts w:ascii="Times New Roman" w:hAnsi="Times New Roman" w:cs="Times New Roman"/>
        </w:rPr>
        <w:t xml:space="preserve"> – która oznacza, że elementy interfejsu użytkownika i nawigacja muszą być funkcjonalne; </w:t>
      </w:r>
    </w:p>
    <w:p w:rsidR="0055150A" w:rsidRDefault="0018337C">
      <w:pPr>
        <w:rPr>
          <w:rFonts w:ascii="Times New Roman" w:hAnsi="Times New Roman" w:cs="Times New Roman"/>
        </w:rPr>
      </w:pPr>
      <w:r w:rsidRPr="0055150A">
        <w:rPr>
          <w:rFonts w:ascii="Times New Roman" w:hAnsi="Times New Roman" w:cs="Times New Roman"/>
          <w:b/>
        </w:rPr>
        <w:t>zrozumiałość</w:t>
      </w:r>
      <w:r w:rsidRPr="0018337C">
        <w:rPr>
          <w:rFonts w:ascii="Times New Roman" w:hAnsi="Times New Roman" w:cs="Times New Roman"/>
        </w:rPr>
        <w:t xml:space="preserve"> – która oznacza, że informacje i obsługa interfejsu użytkownika muszą być zrozumiałe; </w:t>
      </w:r>
    </w:p>
    <w:p w:rsidR="0055150A" w:rsidRDefault="0018337C">
      <w:pPr>
        <w:rPr>
          <w:rFonts w:ascii="Times New Roman" w:hAnsi="Times New Roman" w:cs="Times New Roman"/>
        </w:rPr>
      </w:pPr>
      <w:r w:rsidRPr="0055150A">
        <w:rPr>
          <w:rFonts w:ascii="Times New Roman" w:hAnsi="Times New Roman" w:cs="Times New Roman"/>
          <w:b/>
        </w:rPr>
        <w:t>integralność</w:t>
      </w:r>
      <w:r w:rsidRPr="0018337C">
        <w:rPr>
          <w:rFonts w:ascii="Times New Roman" w:hAnsi="Times New Roman" w:cs="Times New Roman"/>
        </w:rPr>
        <w:t xml:space="preserve"> – która oznacza, że treści muszą być wystarczająco integralne, by mogły być skutecznie interpretowane przez różnego rodzaju aplikacje klienckie, w tym technologie wspomagające. </w:t>
      </w:r>
    </w:p>
    <w:p w:rsidR="0018337C" w:rsidRPr="0018337C" w:rsidRDefault="0018337C">
      <w:pPr>
        <w:rPr>
          <w:rFonts w:ascii="Times New Roman" w:hAnsi="Times New Roman" w:cs="Times New Roman"/>
          <w:u w:val="single"/>
        </w:rPr>
      </w:pPr>
      <w:r w:rsidRPr="0018337C">
        <w:rPr>
          <w:rFonts w:ascii="Times New Roman" w:hAnsi="Times New Roman" w:cs="Times New Roman"/>
        </w:rPr>
        <w:t>Te zasady dostępności przekładają się na możliwe do testowania kryteria powodzenia, takie jak te leżące u podstaw normy europejskiej EN 301 549 V1.1.2 „Wymagania dostępności dotyczące publicznych dostaw produktów i usług ICT w Europie” (2015-04) (norma europejska EN 301 549 V1.1.2 (2015-04), z zastosowaniem norm zharmonizowanych i wspólnej metodyki służących badaniu zgodności treści stron internetowych oraz aplikacji mobilnych z tymi zasadami. Ta norma europejska została przyjęta na podstawie mandatu M/376 wydanego przez Komisję dla europejskich organizacji normalizacyjnych. Dopóki odesłania do zharmonizowanych norm lub ich części nie zostaną opublikowane w Dzienniku Urzędowym Unii Europejskiej, za minimalne środki wdrażania tych zasad w praktyce powinny być uznawane odpowiednie klauzule normy europejskiej EN 301 549 V1.1.2 (2015-04).</w:t>
      </w:r>
    </w:p>
    <w:p w:rsidR="0055150A" w:rsidRDefault="0055150A">
      <w:pPr>
        <w:rPr>
          <w:rFonts w:ascii="Times New Roman" w:hAnsi="Times New Roman" w:cs="Times New Roman"/>
          <w:u w:val="single"/>
        </w:rPr>
      </w:pPr>
    </w:p>
    <w:p w:rsidR="0055150A" w:rsidRPr="0055150A" w:rsidRDefault="0055150A">
      <w:pPr>
        <w:rPr>
          <w:rFonts w:ascii="Times New Roman" w:hAnsi="Times New Roman" w:cs="Times New Roman"/>
          <w:i/>
          <w:u w:val="single"/>
        </w:rPr>
      </w:pPr>
      <w:r w:rsidRPr="0055150A">
        <w:rPr>
          <w:rFonts w:ascii="Times New Roman" w:hAnsi="Times New Roman" w:cs="Times New Roman"/>
          <w:i/>
        </w:rPr>
        <w:t>DECYZJA WYKONAWCZA KOMISJI (UE) 2018/1524 z dnia 11 października 2018 r. ustanawiająca metodykę monitorowania i zasady przekazywania przez państwa członkowskie sprawozdań zgodnie z dyrektywą Parlamentu Europejskiego i Rady (UE) 2016/2102 w sprawie dostępności stron internetowych i mobilnych aplikacji organów sektora publicznego (notyfikowana jako dokument nr C(2018) 6560)</w:t>
      </w:r>
    </w:p>
    <w:p w:rsidR="0055150A" w:rsidRDefault="0055150A">
      <w:pPr>
        <w:rPr>
          <w:rFonts w:ascii="Times New Roman" w:hAnsi="Times New Roman" w:cs="Times New Roman"/>
          <w:u w:val="single"/>
        </w:rPr>
      </w:pPr>
    </w:p>
    <w:p w:rsidR="00614070" w:rsidRPr="00614070" w:rsidRDefault="00614070">
      <w:pPr>
        <w:rPr>
          <w:rFonts w:ascii="Times New Roman" w:hAnsi="Times New Roman" w:cs="Times New Roman"/>
          <w:u w:val="single"/>
        </w:rPr>
      </w:pPr>
      <w:r w:rsidRPr="00614070">
        <w:rPr>
          <w:rFonts w:ascii="Times New Roman" w:hAnsi="Times New Roman" w:cs="Times New Roman"/>
          <w:u w:val="single"/>
        </w:rPr>
        <w:t>Wybrane artykuły.</w:t>
      </w:r>
    </w:p>
    <w:p w:rsidR="00614070" w:rsidRPr="00614070" w:rsidRDefault="00614070">
      <w:pPr>
        <w:rPr>
          <w:rFonts w:ascii="Times New Roman" w:hAnsi="Times New Roman" w:cs="Times New Roman"/>
          <w:i/>
        </w:rPr>
      </w:pPr>
      <w:r w:rsidRPr="00614070">
        <w:rPr>
          <w:rFonts w:ascii="Times New Roman" w:hAnsi="Times New Roman" w:cs="Times New Roman"/>
          <w:i/>
        </w:rPr>
        <w:t xml:space="preserve">Artykuł 5 </w:t>
      </w:r>
    </w:p>
    <w:p w:rsidR="00614070" w:rsidRDefault="00614070">
      <w:pPr>
        <w:rPr>
          <w:rFonts w:ascii="Times New Roman" w:hAnsi="Times New Roman" w:cs="Times New Roman"/>
        </w:rPr>
      </w:pPr>
      <w:r w:rsidRPr="00614070">
        <w:rPr>
          <w:rFonts w:ascii="Times New Roman" w:hAnsi="Times New Roman" w:cs="Times New Roman"/>
        </w:rPr>
        <w:t xml:space="preserve">Metody monitorowania Państwa członkowskie monitorują zgodność stron internetowych i aplikacji mobilnych organów sektora publicznego z wymogami dostępności przewidzianymi w art. 4 dyrektywy (UE) 2016/2102, stosując: </w:t>
      </w:r>
    </w:p>
    <w:p w:rsidR="00614070" w:rsidRDefault="00614070">
      <w:pPr>
        <w:rPr>
          <w:rFonts w:ascii="Times New Roman" w:hAnsi="Times New Roman" w:cs="Times New Roman"/>
        </w:rPr>
      </w:pPr>
      <w:r w:rsidRPr="00614070">
        <w:rPr>
          <w:rFonts w:ascii="Times New Roman" w:hAnsi="Times New Roman" w:cs="Times New Roman"/>
        </w:rPr>
        <w:lastRenderedPageBreak/>
        <w:t xml:space="preserve">a) metodę szczegółowego monitorowania mającą na celu sprawdzenie zgodności, realizowaną zgodnie z wymogami określonymi w załączniku I pkt 1.2; </w:t>
      </w:r>
    </w:p>
    <w:p w:rsidR="00614070" w:rsidRDefault="00614070">
      <w:pPr>
        <w:rPr>
          <w:rFonts w:ascii="Times New Roman" w:hAnsi="Times New Roman" w:cs="Times New Roman"/>
        </w:rPr>
      </w:pPr>
      <w:r w:rsidRPr="00614070">
        <w:rPr>
          <w:rFonts w:ascii="Times New Roman" w:hAnsi="Times New Roman" w:cs="Times New Roman"/>
        </w:rPr>
        <w:t xml:space="preserve">b) metodę uproszczonego monitorowania mającą na celu wykrywanie niezgodności, realizowaną zgodnie z wymogami określonymi w załączniku I pkt 1.3. </w:t>
      </w:r>
    </w:p>
    <w:p w:rsidR="0055150A" w:rsidRDefault="0055150A">
      <w:pPr>
        <w:rPr>
          <w:rFonts w:ascii="Times New Roman" w:hAnsi="Times New Roman" w:cs="Times New Roman"/>
        </w:rPr>
      </w:pPr>
    </w:p>
    <w:p w:rsidR="0055150A" w:rsidRPr="0055150A" w:rsidRDefault="0055150A" w:rsidP="0055150A">
      <w:pPr>
        <w:spacing w:after="0" w:line="240" w:lineRule="auto"/>
        <w:jc w:val="center"/>
        <w:rPr>
          <w:rFonts w:ascii="Times New Roman" w:eastAsia="Times New Roman" w:hAnsi="Times New Roman" w:cs="Times New Roman"/>
          <w:i/>
          <w:lang w:eastAsia="pl-PL"/>
        </w:rPr>
      </w:pPr>
      <w:r w:rsidRPr="0055150A">
        <w:rPr>
          <w:rFonts w:ascii="Times New Roman" w:eastAsia="Times New Roman" w:hAnsi="Times New Roman" w:cs="Times New Roman"/>
          <w:i/>
          <w:lang w:eastAsia="pl-PL"/>
        </w:rPr>
        <w:t>ZAŁĄCZNIK I</w:t>
      </w:r>
    </w:p>
    <w:p w:rsidR="0055150A" w:rsidRP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MONITOROWANIE</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 METODY MONITOROWANIA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1.1. Poniższe metody monitorowania nie dodają ani nie zastępują żadnych wymogów określonych w normach i specyfikacjach technicznych, o których mowa w art. 6 dyrektywy (UE) 2016/2102. Metody te są niezależne od wszelkich szczegółowych testów, narzędzi oceny dostępności, systemów operacyjnych, przeglądarek interne</w:t>
      </w:r>
      <w:r w:rsidRPr="0055150A">
        <w:rPr>
          <w:rFonts w:ascii="Times New Roman" w:eastAsia="Times New Roman" w:hAnsi="Times New Roman" w:cs="Times New Roman"/>
          <w:lang w:eastAsia="pl-PL"/>
        </w:rPr>
        <w:softHyphen/>
        <w:t xml:space="preserve">towych lub specjalistycznych technologii wspomagających.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1.2. Szczegółowe monitorowanie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1.2.1. Państwa członkowskie stosują szczegółową metodę monitorowania, która dokładnie sprawdza, czy strona internetowa lub aplikacja mobilna spełniają wszystkie wymogi określone w normach i specyfikacjach technicznych, o których mowa w art. 6 dyrektywy (UE) 2016/2102.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1.2.2. Szczegółowa metoda monitorowania sprawdza wszystkie etapy procesów w dobranej próbie, realizując co najmniej domyślną sekwencję czynności niezbędnych do zakończenia procesu.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1.2.3. W ramach szczegółowej metody monitorowania dokonuje się oceny co najmniej interakcji z formularzami, elementami interfejsu użytkownika i polami dialogowymi, potwierdzeń wprowadzenia danych, komunikatów o błędach i innych informacji zwrotnych wynikających z interakcji z użytkownikami, o ile to możliwe, a także zachowania strony internetowej lub aplikacji mobilnej przy stosowaniu różnych ustawień lub preferencji.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1.2.4. Szczegółowa metoda monitorowania może obejmować, w stosownych przypadkach, testy łatwości korzystania, takie jak obserwacja i analiza sposobów postrzegania przez użytkowników niepełnosprawnych treści strony internetowej lub aplikacji mobilnej, a także stopnia skomplikowania procesu korzystania z elementów interfejsu, takich jak menu lub formularze nawigacyjne, w mniemaniu tychże użytkowników.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1.2.5. Organ monitorujący może wykorzystać, w pełni lub częściowo, wyniki oceny przedstawione przez organ sektora publicznego, gdy spełnione zostały łącznie następujące warunki: </w:t>
      </w:r>
    </w:p>
    <w:p w:rsidR="0055150A" w:rsidRDefault="0055150A" w:rsidP="0055150A">
      <w:pPr>
        <w:spacing w:after="0" w:line="240" w:lineRule="auto"/>
        <w:ind w:left="708"/>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a) organ sektora publicznego dostarczył najbardziej aktualne, szczegółowe sprawozdanie z oceny, którym dysponuje; </w:t>
      </w:r>
    </w:p>
    <w:p w:rsidR="0055150A" w:rsidRDefault="0055150A" w:rsidP="0055150A">
      <w:pPr>
        <w:spacing w:after="0" w:line="240" w:lineRule="auto"/>
        <w:ind w:left="708"/>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b) ocena taka została przeprowadzona nie wcześniej niż trzy lata przed datą monitorowania i została przepro</w:t>
      </w:r>
      <w:r w:rsidRPr="0055150A">
        <w:rPr>
          <w:rFonts w:ascii="Times New Roman" w:eastAsia="Times New Roman" w:hAnsi="Times New Roman" w:cs="Times New Roman"/>
          <w:lang w:eastAsia="pl-PL"/>
        </w:rPr>
        <w:softHyphen/>
        <w:t xml:space="preserve">wadzona zgodnie z pkt 1.2.1–1.2.4 i pkt 3 niniejszego załącznika; </w:t>
      </w:r>
    </w:p>
    <w:p w:rsidR="0055150A" w:rsidRDefault="0055150A" w:rsidP="0055150A">
      <w:pPr>
        <w:spacing w:after="0" w:line="240" w:lineRule="auto"/>
        <w:ind w:left="708"/>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c) organ monitorujący uznaje sprawozdanie z oceny za ważne do wykorzystania w ramach szczegółowego monitorowania, w oparciu o: (i) wyniki zastosowania uproszczonej metody monitorowania w odniesieniu do strony internetowej lub aplikacji mobilnej; oraz (ii) jeżeli ocena została przeprowadzona wcześniej niż rok przed datą monitorowania – analizę sprawozdania dostosowaną do jej charakterystyki, na przykład czas, jaki minął od jej przeprowadzenia, i poziom szczegółowości.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1.2.6.Państwa członkowskie zapewniają, aby – z zastrzeżeniem wszelkich odpowiednich przepisów prawnych nakłada</w:t>
      </w:r>
      <w:r w:rsidRPr="0055150A">
        <w:rPr>
          <w:rFonts w:ascii="Times New Roman" w:eastAsia="Times New Roman" w:hAnsi="Times New Roman" w:cs="Times New Roman"/>
          <w:lang w:eastAsia="pl-PL"/>
        </w:rPr>
        <w:softHyphen/>
        <w:t xml:space="preserve">jących określone wymogi związane z ochroną poufności, w tym ze względu na bezpieczeństwo narodowe – dostęp do zewnętrznych lub intranetowych stron internetowych był przyznawany organowi monitorującemu na potrzeby monitorowania. Jeżeli nie można zapewnić takiego dostępu, lecz organ sektora publicznego udostępnia wyniki oceny, organ monitorujący może wykorzystać, w pełni lub częściowo, wspomniane wyniki oceny, gdy spełnione zostały łącznie następujące warunki: </w:t>
      </w:r>
    </w:p>
    <w:p w:rsidR="0055150A" w:rsidRDefault="0055150A" w:rsidP="0055150A">
      <w:pPr>
        <w:spacing w:after="0" w:line="240" w:lineRule="auto"/>
        <w:ind w:left="708"/>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a) organ sektora publicznego dostarczył najbardziej aktualne, szczegółowe sprawozdanie z oceny, którym dysponuje; </w:t>
      </w:r>
    </w:p>
    <w:p w:rsidR="0055150A" w:rsidRDefault="0055150A" w:rsidP="0055150A">
      <w:pPr>
        <w:spacing w:after="0" w:line="240" w:lineRule="auto"/>
        <w:ind w:left="708"/>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b) ocena taka została przeprowadzona nie wcześniej niż trzy lata przed datą monitorowania i została przepro</w:t>
      </w:r>
      <w:r w:rsidRPr="0055150A">
        <w:rPr>
          <w:rFonts w:ascii="Times New Roman" w:eastAsia="Times New Roman" w:hAnsi="Times New Roman" w:cs="Times New Roman"/>
          <w:lang w:eastAsia="pl-PL"/>
        </w:rPr>
        <w:softHyphen/>
        <w:t xml:space="preserve">wadzona zgodnie z pkt 1.2.1–1.2.4 i pkt 3 niniejszego załącznika. </w:t>
      </w:r>
    </w:p>
    <w:p w:rsid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1.3. Uproszczone monitorowanie </w:t>
      </w:r>
    </w:p>
    <w:p w:rsidR="0055150A" w:rsidRPr="0055150A" w:rsidRDefault="0055150A" w:rsidP="0055150A">
      <w:pPr>
        <w:spacing w:after="0" w:line="240" w:lineRule="auto"/>
        <w:rPr>
          <w:rFonts w:ascii="Times New Roman" w:eastAsia="Times New Roman" w:hAnsi="Times New Roman" w:cs="Times New Roman"/>
          <w:lang w:eastAsia="pl-PL"/>
        </w:rPr>
      </w:pPr>
      <w:r w:rsidRPr="0055150A">
        <w:rPr>
          <w:rFonts w:ascii="Times New Roman" w:eastAsia="Times New Roman" w:hAnsi="Times New Roman" w:cs="Times New Roman"/>
          <w:lang w:eastAsia="pl-PL"/>
        </w:rPr>
        <w:lastRenderedPageBreak/>
        <w:t xml:space="preserve">1.3.1. Państwa członkowskie stosują uproszczoną metodę monitorowania stron internetowych, która wychwytuje przypadki niezgodności z podzbiorem wymogów określonych w normach i specyfikacjach technicznych, o których mowa w art. 6 dyrektywy (UE) 2016/2102. 12.10.2018 L 256/112 Dziennik Urzędowy Unii Europejskiej PL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1.3.2. Uproszczona metoda monitorowania obejmuje testy związane z każdym z wymogów dotyczących postrzegania, operacyjności, zrozumiałości i rzetelności, o których mowa w art. 4 dyrektywy (UE) 2016/2102. Testy te sprawdzają strony internetowe pod kątem niezgodności. Uproszczone monitorowanie ma na celu uwzględnienie następujących potrzeb użytkowników w zakresie dostępności, w maksymalnym stopniu, w jakim jest to racjonalnie możliwe, z użyciem testów automatycznych: </w:t>
      </w:r>
      <w:bookmarkStart w:id="0" w:name="_GoBack"/>
      <w:bookmarkEnd w:id="0"/>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a) użytkowanie przez osoby niewidome;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b) użytkowanie przez osoby o ograniczonej zdolności widzenia;</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 c) użytkowanie przez osoby z zaburzeniami widzenia barw;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d) użytkowanie przez osoby niesłyszące;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e) użytkowanie przez osoby o ograniczonej zdolności słyszenia;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f) użytkowanie przez osoby nieme;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g) użytkowanie przez osoby o ograniczonej sile fizycznej lub sprawności manualnej;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h) konieczność minimalizacji czynników wywołujących napad padaczki </w:t>
      </w:r>
      <w:proofErr w:type="spellStart"/>
      <w:r w:rsidRPr="0055150A">
        <w:rPr>
          <w:rFonts w:ascii="Times New Roman" w:eastAsia="Times New Roman" w:hAnsi="Times New Roman" w:cs="Times New Roman"/>
          <w:lang w:eastAsia="pl-PL"/>
        </w:rPr>
        <w:t>fotogennej</w:t>
      </w:r>
      <w:proofErr w:type="spellEnd"/>
      <w:r w:rsidRPr="0055150A">
        <w:rPr>
          <w:rFonts w:ascii="Times New Roman" w:eastAsia="Times New Roman" w:hAnsi="Times New Roman" w:cs="Times New Roman"/>
          <w:lang w:eastAsia="pl-PL"/>
        </w:rPr>
        <w:t xml:space="preserve">; </w:t>
      </w:r>
    </w:p>
    <w:p w:rsidR="0055150A" w:rsidRDefault="0055150A" w:rsidP="0055150A">
      <w:pPr>
        <w:spacing w:after="0"/>
        <w:rPr>
          <w:rFonts w:ascii="Times New Roman" w:eastAsia="Times New Roman" w:hAnsi="Times New Roman" w:cs="Times New Roman"/>
          <w:lang w:eastAsia="pl-PL"/>
        </w:rPr>
      </w:pPr>
      <w:r w:rsidRPr="0055150A">
        <w:rPr>
          <w:rFonts w:ascii="Times New Roman" w:eastAsia="Times New Roman" w:hAnsi="Times New Roman" w:cs="Times New Roman"/>
          <w:lang w:eastAsia="pl-PL"/>
        </w:rPr>
        <w:t xml:space="preserve">i) użytkowanie przez osoby o ograniczonych zdolnościach poznawczych. Na potrzeby uproszczonego monitorowania państwa członkowskie mogą również stosować testy inne niż automatyczne. </w:t>
      </w:r>
    </w:p>
    <w:p w:rsidR="0055150A" w:rsidRPr="0055150A" w:rsidRDefault="0055150A" w:rsidP="0055150A">
      <w:pPr>
        <w:rPr>
          <w:rFonts w:ascii="Times New Roman" w:hAnsi="Times New Roman" w:cs="Times New Roman"/>
        </w:rPr>
      </w:pPr>
      <w:r w:rsidRPr="0055150A">
        <w:rPr>
          <w:rFonts w:ascii="Times New Roman" w:eastAsia="Times New Roman" w:hAnsi="Times New Roman" w:cs="Times New Roman"/>
          <w:lang w:eastAsia="pl-PL"/>
        </w:rPr>
        <w:t>1.3.3. Po każdym terminie składania sprawozdań, określonym w art. 8 ust. 4 dyrektywy (UE) 2016/2102, państwa członkowskie dokonują przeglądu zasad prowadzenia testów na potrzeby uproszczonej metody monitorowania</w:t>
      </w:r>
    </w:p>
    <w:sectPr w:rsidR="0055150A" w:rsidRPr="005515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070"/>
    <w:rsid w:val="0018337C"/>
    <w:rsid w:val="004262FF"/>
    <w:rsid w:val="0055150A"/>
    <w:rsid w:val="00614070"/>
    <w:rsid w:val="00DF29D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021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1118</Words>
  <Characters>6714</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Wacław Buda</dc:creator>
  <cp:lastModifiedBy>Wacław Buda</cp:lastModifiedBy>
  <cp:revision>1</cp:revision>
  <dcterms:created xsi:type="dcterms:W3CDTF">2020-01-28T22:35:00Z</dcterms:created>
  <dcterms:modified xsi:type="dcterms:W3CDTF">2020-01-28T23:09:00Z</dcterms:modified>
</cp:coreProperties>
</file>